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383CA56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0E53F2" w:rsidRPr="000E53F2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0E53F2" w:rsidRPr="000E53F2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5D892DF4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0E53F2" w:rsidRPr="000E53F2">
        <w:rPr>
          <w:b/>
          <w:sz w:val="20"/>
          <w:szCs w:val="20"/>
          <w:lang w:val="kk-KZ"/>
        </w:rPr>
        <w:t>8D06101 Ақпараттық жүйелер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012D4B86" w:rsidR="00227FC8" w:rsidRPr="000E53F2" w:rsidRDefault="00227FC8" w:rsidP="000E53F2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2734DF" w14:textId="77777777" w:rsidR="00E55C26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05A2C589" w14:textId="77777777" w:rsid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4E36218" w:rsidR="000E53F2" w:rsidRP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75357595" w:rsidR="00AC0EFC" w:rsidRPr="000E53F2" w:rsidRDefault="005F518B" w:rsidP="00EB090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EFFB4D2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B171" w14:textId="3FFFEA85" w:rsidR="006D5BE7" w:rsidRPr="006D5BE7" w:rsidRDefault="00E94837" w:rsidP="00E94837">
            <w:pPr>
              <w:jc w:val="both"/>
              <w:rPr>
                <w:sz w:val="20"/>
                <w:szCs w:val="20"/>
              </w:rPr>
            </w:pPr>
            <w:r w:rsidRPr="00E94837">
              <w:rPr>
                <w:sz w:val="20"/>
                <w:szCs w:val="20"/>
              </w:rPr>
              <w:t>77860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="006D5BE7" w:rsidRPr="006D5BE7">
              <w:rPr>
                <w:sz w:val="20"/>
                <w:szCs w:val="20"/>
              </w:rPr>
              <w:t>Ақпараттық қауіпсіздікті</w:t>
            </w:r>
          </w:p>
          <w:p w14:paraId="60391656" w14:textId="77777777" w:rsidR="006D5BE7" w:rsidRPr="006D5BE7" w:rsidRDefault="006D5BE7" w:rsidP="006D5BE7">
            <w:pPr>
              <w:rPr>
                <w:sz w:val="20"/>
                <w:szCs w:val="20"/>
              </w:rPr>
            </w:pPr>
            <w:r w:rsidRPr="006D5BE7">
              <w:rPr>
                <w:sz w:val="20"/>
                <w:szCs w:val="20"/>
              </w:rPr>
              <w:t>бағалау модельдері мен</w:t>
            </w:r>
          </w:p>
          <w:p w14:paraId="5604C44C" w14:textId="091ADCBA" w:rsidR="00AB0852" w:rsidRPr="00E94837" w:rsidRDefault="006D5BE7" w:rsidP="006D5BE7">
            <w:pPr>
              <w:rPr>
                <w:sz w:val="20"/>
                <w:szCs w:val="20"/>
              </w:rPr>
            </w:pPr>
            <w:r w:rsidRPr="006D5BE7">
              <w:rPr>
                <w:sz w:val="20"/>
                <w:szCs w:val="20"/>
              </w:rPr>
              <w:t>әдістері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D49FC10" w:rsidR="00441994" w:rsidRPr="000E53F2" w:rsidRDefault="000E53F2" w:rsidP="000E53F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4</w:t>
            </w:r>
          </w:p>
          <w:p w14:paraId="5604C44D" w14:textId="4A57F4A3" w:rsidR="00AB0852" w:rsidRPr="000E53F2" w:rsidRDefault="00AB0852" w:rsidP="000E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54FB5C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739310A" w:rsidR="00AB0852" w:rsidRPr="000E53F2" w:rsidRDefault="00E94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81B0162" w:rsidR="00AB0852" w:rsidRPr="000E53F2" w:rsidRDefault="00E94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7C9DA17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D66B9" w14:textId="64CBF194" w:rsidR="0043016B" w:rsidRPr="000E53F2" w:rsidRDefault="000E53F2" w:rsidP="000E53F2">
            <w:pPr>
              <w:jc w:val="center"/>
              <w:rPr>
                <w:sz w:val="20"/>
                <w:szCs w:val="20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7</w:t>
            </w:r>
          </w:p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9483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0E53F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1333F48" w:rsidR="00A77510" w:rsidRPr="000E53F2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0E53F2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3F281B1" w:rsidR="00A77510" w:rsidRPr="007A2336" w:rsidRDefault="007A233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9E49DF" w:rsidR="00A77510" w:rsidRPr="008F66D7" w:rsidRDefault="000E53F2">
            <w:pPr>
              <w:jc w:val="center"/>
              <w:rPr>
                <w:sz w:val="20"/>
                <w:szCs w:val="20"/>
                <w:lang w:val="kk-KZ"/>
              </w:rPr>
            </w:pPr>
            <w:r w:rsidRPr="000E53F2">
              <w:rPr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8D2E01F" w:rsidR="00A77510" w:rsidRPr="008F66D7" w:rsidRDefault="00E948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Программалау, мәселелерді шешу, жобалау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1D0F06B" w:rsidR="00A77510" w:rsidRPr="001262E6" w:rsidRDefault="001262E6" w:rsidP="00675424">
            <w:pPr>
              <w:rPr>
                <w:sz w:val="20"/>
                <w:szCs w:val="20"/>
                <w:lang w:val="kk-KZ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  <w:r w:rsidR="00675424" w:rsidRPr="001262E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9922DB8" w:rsidR="00A77510" w:rsidRPr="003F2DC5" w:rsidRDefault="001262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1C88FB1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B0E5433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FC0E7D7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68B0F9B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E26163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5313ED2" w:rsidR="0058724E" w:rsidRPr="00D73188" w:rsidRDefault="00F8266D" w:rsidP="001262E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1262E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01D074FA" w:rsidR="00A02A85" w:rsidRPr="00C355C1" w:rsidRDefault="009D449C" w:rsidP="001262E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931DE8" w:rsidRPr="00E94837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5C8E640B" w:rsidR="00A02A85" w:rsidRPr="001262E6" w:rsidRDefault="00E9483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4837">
              <w:rPr>
                <w:bCs/>
                <w:sz w:val="20"/>
                <w:szCs w:val="20"/>
              </w:rPr>
              <w:t>Пәннің мақсаты деректерді қорғау үшін қажетті басқару және ұйымдастырушылық бақылау процестеріне шолу: деректерді қорғау талаптары сақталуы тиіс ұлттық және басқа да мемлекеттік және салалық компанияларға шолу, сәйкестікті басқару зерттеулерінің тереңдігі мен кеңдігін талдау, деректерді қорғауды бақылаудың әртүрлі тәсілдерін зерттеу.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2B58D61A" w:rsidR="00A02A85" w:rsidRPr="005176A2" w:rsidRDefault="005176A2" w:rsidP="005176A2">
            <w:pPr>
              <w:tabs>
                <w:tab w:val="left" w:pos="305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5176A2">
              <w:rPr>
                <w:sz w:val="20"/>
                <w:szCs w:val="20"/>
                <w:lang w:val="kk-KZ"/>
              </w:rPr>
              <w:t xml:space="preserve">Когнитивті. </w:t>
            </w:r>
            <w:r w:rsidR="006D5BE7" w:rsidRPr="00B55A1D">
              <w:rPr>
                <w:sz w:val="20"/>
                <w:szCs w:val="20"/>
                <w:lang w:val="kk-KZ"/>
              </w:rPr>
              <w:t>Информациялық қауіпсіздік модельдерінің теориялық негіздерін және бағалау әдістерін үйрену.</w:t>
            </w:r>
          </w:p>
        </w:tc>
        <w:tc>
          <w:tcPr>
            <w:tcW w:w="2693" w:type="dxa"/>
            <w:gridSpan w:val="2"/>
          </w:tcPr>
          <w:p w14:paraId="5272881B" w14:textId="37D720E3" w:rsidR="00A02A85" w:rsidRPr="00B55A1D" w:rsidRDefault="006D67A9" w:rsidP="006D67A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6D67A9">
              <w:rPr>
                <w:sz w:val="20"/>
                <w:szCs w:val="20"/>
                <w:lang w:val="kk-KZ"/>
              </w:rPr>
              <w:t xml:space="preserve">.1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модельдерінің принциптерін, түрлерін және олардың қолданылу саласын түсіну.</w:t>
            </w:r>
          </w:p>
        </w:tc>
      </w:tr>
      <w:tr w:rsidR="00931DE8" w:rsidRPr="00E9483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3F9F7545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Бағалау әдістерінің (анализ тәуекелдер, формальды модельдер, метрикалар) ерекшеліктерін білу</w:t>
            </w:r>
          </w:p>
        </w:tc>
      </w:tr>
      <w:tr w:rsidR="00931DE8" w:rsidRPr="00E9483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5176A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41B3F183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2.</w:t>
            </w:r>
            <w:r w:rsid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Функционалды.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тәуекелдерін бағалау үшін әдістерді қолдану және есептеулер жүргізу.</w:t>
            </w:r>
          </w:p>
        </w:tc>
        <w:tc>
          <w:tcPr>
            <w:tcW w:w="2693" w:type="dxa"/>
            <w:gridSpan w:val="2"/>
          </w:tcPr>
          <w:p w14:paraId="01B00815" w14:textId="7AAD8B6B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Тәуекелдерді сандық және сапалық әдістер арқылы есептеу</w:t>
            </w:r>
          </w:p>
        </w:tc>
      </w:tr>
      <w:tr w:rsidR="00931DE8" w:rsidRPr="00E9483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52903FFE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Бағалау нәтижелері бойынша қорытынды жасап, оларды құжаттау</w:t>
            </w:r>
          </w:p>
        </w:tc>
      </w:tr>
      <w:tr w:rsidR="00931DE8" w:rsidRPr="00E9483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B08556D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3.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Функционалды.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жүйелердің қауіпсіздік деңгейін бағалау үшін метрикалар мен көрсеткіштерді пайдалану.</w:t>
            </w:r>
          </w:p>
        </w:tc>
        <w:tc>
          <w:tcPr>
            <w:tcW w:w="2693" w:type="dxa"/>
            <w:gridSpan w:val="2"/>
          </w:tcPr>
          <w:p w14:paraId="31021E48" w14:textId="702D5BE1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Жүйенің қауіпсіздігін бағалау үшін қолжетімділік, құпиялылық және тұтастық метрикаларын қолдану</w:t>
            </w:r>
          </w:p>
        </w:tc>
      </w:tr>
      <w:tr w:rsidR="00931DE8" w:rsidRPr="00E9483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823460A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Бағалау нәтижелерін салыстырып, әлсіз жерлерді анықтау</w:t>
            </w:r>
          </w:p>
        </w:tc>
      </w:tr>
      <w:tr w:rsidR="00931DE8" w:rsidRPr="00E9483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82A390E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Жүйелі. </w:t>
            </w:r>
            <w:r w:rsidR="00B55A1D" w:rsidRPr="00B55A1D">
              <w:rPr>
                <w:sz w:val="20"/>
                <w:szCs w:val="20"/>
                <w:lang w:val="kk-KZ"/>
              </w:rPr>
              <w:t>Нақты жағдайлар мен сценарийлерде ақпараттық қауіпсіздік модельдерін қолдану.</w:t>
            </w:r>
          </w:p>
        </w:tc>
        <w:tc>
          <w:tcPr>
            <w:tcW w:w="2693" w:type="dxa"/>
            <w:gridSpan w:val="2"/>
          </w:tcPr>
          <w:p w14:paraId="6D5F81C1" w14:textId="0E3F42AB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4.1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шабуыл сценарийлерін модельдеу және қауіпсіздік деңгейін бағалау</w:t>
            </w:r>
          </w:p>
        </w:tc>
      </w:tr>
      <w:tr w:rsidR="00931DE8" w:rsidRPr="00E94837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642657C2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="001A4971" w:rsidRPr="001A4971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Модельдеу нәтижелері негізінде ұсыныстар әзірлеу</w:t>
            </w:r>
          </w:p>
        </w:tc>
      </w:tr>
      <w:tr w:rsidR="00931DE8" w:rsidRPr="00E9483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642DADFA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Когнитивті.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бағалау әдістерін халықаралық стандарттарға сәйкестендіру.</w:t>
            </w:r>
          </w:p>
        </w:tc>
        <w:tc>
          <w:tcPr>
            <w:tcW w:w="2693" w:type="dxa"/>
            <w:gridSpan w:val="2"/>
          </w:tcPr>
          <w:p w14:paraId="43B49405" w14:textId="25148AB8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5.1</w:t>
            </w:r>
            <w:r w:rsidR="001A4971" w:rsidRPr="001A4971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 xml:space="preserve">Стандарттардағы негізгі талаптарды білу және </w:t>
            </w:r>
            <w:r w:rsidR="00B55A1D" w:rsidRPr="00B55A1D">
              <w:rPr>
                <w:sz w:val="20"/>
                <w:szCs w:val="20"/>
                <w:lang w:val="kk-KZ"/>
              </w:rPr>
              <w:lastRenderedPageBreak/>
              <w:t>оларды бағалау процесінде қолдану</w:t>
            </w:r>
          </w:p>
        </w:tc>
      </w:tr>
      <w:tr w:rsidR="00931DE8" w:rsidRPr="00E9483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2C8CA297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5.2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Бағалау нәтижелерін халықаралық талаптарға сәйкестендіріп құжаттау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6E6707C" w:rsidR="00A02A85" w:rsidRPr="008144A5" w:rsidRDefault="008144A5" w:rsidP="00B77F6B">
            <w:pPr>
              <w:rPr>
                <w:bCs/>
                <w:sz w:val="20"/>
                <w:szCs w:val="20"/>
                <w:lang w:val="kk-KZ"/>
              </w:rPr>
            </w:pPr>
            <w:r w:rsidRPr="008144A5">
              <w:rPr>
                <w:bCs/>
                <w:sz w:val="20"/>
                <w:szCs w:val="20"/>
                <w:lang w:val="kk-KZ"/>
              </w:rPr>
              <w:t>96479</w:t>
            </w:r>
            <w:r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8144A5">
              <w:rPr>
                <w:bCs/>
                <w:sz w:val="20"/>
                <w:szCs w:val="20"/>
                <w:lang w:val="kk-KZ"/>
              </w:rPr>
              <w:t>Ғылыми зерттеудің әдістері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A403DEA" w:rsidR="00A02A85" w:rsidRPr="001A4971" w:rsidRDefault="008144A5" w:rsidP="00B77F6B">
            <w:pPr>
              <w:rPr>
                <w:sz w:val="20"/>
                <w:szCs w:val="20"/>
              </w:rPr>
            </w:pPr>
            <w:r w:rsidRPr="008144A5">
              <w:rPr>
                <w:bCs/>
                <w:sz w:val="20"/>
                <w:szCs w:val="20"/>
              </w:rPr>
              <w:t>87193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- </w:t>
            </w:r>
            <w:r w:rsidRPr="008144A5">
              <w:rPr>
                <w:bCs/>
                <w:sz w:val="20"/>
                <w:szCs w:val="20"/>
              </w:rPr>
              <w:t>Ақпараттық қауіпсіздік құралдарын әзірлеу</w:t>
            </w:r>
          </w:p>
        </w:tc>
      </w:tr>
      <w:tr w:rsidR="00931DE8" w:rsidRPr="00E94837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6543FFC" w14:textId="03639D19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r w:rsidR="00B55A1D" w:rsidRPr="00E367AC">
              <w:rPr>
                <w:sz w:val="20"/>
                <w:szCs w:val="20"/>
                <w:lang w:val="en-US"/>
              </w:rPr>
              <w:t xml:space="preserve">Auditing IT Infrastructures for Compliance (3rd ed.) — Robert Johnson </w:t>
            </w:r>
            <w:r w:rsidR="00B55A1D">
              <w:rPr>
                <w:sz w:val="20"/>
                <w:szCs w:val="20"/>
                <w:lang w:val="en-US"/>
              </w:rPr>
              <w:t>and others</w:t>
            </w:r>
            <w:r w:rsidR="00B55A1D" w:rsidRPr="00E367AC">
              <w:rPr>
                <w:sz w:val="20"/>
                <w:szCs w:val="20"/>
                <w:lang w:val="en-US"/>
              </w:rPr>
              <w:t>, 2022.</w:t>
            </w:r>
          </w:p>
          <w:p w14:paraId="69274A6F" w14:textId="77B808A5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2.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Artificial Neural Networks: A Practical Course by Rajendra Akerkar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2016</w:t>
            </w:r>
          </w:p>
          <w:p w14:paraId="235F84C1" w14:textId="44B908A2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Deep Learning and Machine Learning: Python Data Structures and Mathematics Fundamental by Silin Chen, Ziqian Bi, Junyu Liu et al.</w:t>
            </w:r>
            <w:r>
              <w:rPr>
                <w:color w:val="000000"/>
                <w:sz w:val="20"/>
                <w:szCs w:val="20"/>
                <w:lang w:val="ru-KZ"/>
              </w:rPr>
              <w:t>,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2024</w:t>
            </w:r>
          </w:p>
          <w:p w14:paraId="32732F41" w14:textId="77777777" w:rsidR="00B55A1D" w:rsidRDefault="001A4971" w:rsidP="00B55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4.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Deep Learning and Machine Learning, Advancing Big Data Analytics and Management: Handy Appetizer by Benji Peng, Xuanhe Pan, Yizhu Wen et al.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F37838A" w14:textId="07E8AD87" w:rsidR="001A4971" w:rsidRPr="00B55A1D" w:rsidRDefault="00AB5420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55A1D">
              <w:rPr>
                <w:color w:val="000000"/>
                <w:sz w:val="20"/>
                <w:szCs w:val="20"/>
                <w:lang w:val="ru-KZ"/>
              </w:rPr>
              <w:t xml:space="preserve">5. </w:t>
            </w:r>
            <w:r w:rsidR="00B55A1D" w:rsidRPr="00B55A1D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6B0CFA07" w14:textId="7A93DD51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6.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Neural Networks: Overview of Current Theories and Applications by Various Authors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BE0DA8C" w14:textId="3654DDFB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7.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Artificial Intelligence: A Modern Approach by Stuart J. Russell, Peter Norvig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2020, 4th Edition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2C129445" w14:textId="77777777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C355C1">
              <w:rPr>
                <w:color w:val="000000" w:themeColor="text1"/>
                <w:sz w:val="20"/>
                <w:szCs w:val="20"/>
                <w:lang w:val="ru-KZ"/>
              </w:rPr>
              <w:t xml:space="preserve">1. </w:t>
            </w: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№12 бизнес-инкубатор </w:t>
            </w:r>
          </w:p>
          <w:p w14:paraId="1FB62F8E" w14:textId="37B8082E" w:rsidR="005A715B" w:rsidRPr="00E94837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2. Зертханалық кабинет 51</w:t>
            </w:r>
            <w:r w:rsidR="00B55A1D" w:rsidRPr="00E94837">
              <w:rPr>
                <w:color w:val="000000" w:themeColor="text1"/>
                <w:sz w:val="20"/>
                <w:szCs w:val="20"/>
                <w:lang w:val="ru-KZ"/>
              </w:rPr>
              <w:t>4</w:t>
            </w:r>
          </w:p>
          <w:p w14:paraId="7D861901" w14:textId="5FCEE864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3. Зертханалық кабинет 323</w:t>
            </w:r>
          </w:p>
          <w:p w14:paraId="3BFE465B" w14:textId="77511B02" w:rsidR="00A02A85" w:rsidRPr="005A715B" w:rsidRDefault="00206C25" w:rsidP="005A715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228106D" w14:textId="77777777" w:rsidR="0020530B" w:rsidRPr="00B35113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60B0DFA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7123E458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71F23FF" w:rsidR="00A02A85" w:rsidRPr="0020530B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2DBFC377" w14:textId="78A38B89" w:rsidR="00A02A85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20530B">
                <w:rPr>
                  <w:rStyle w:val="af9"/>
                  <w:sz w:val="20"/>
                  <w:szCs w:val="20"/>
                  <w:lang w:val="en-US"/>
                </w:rPr>
                <w:t>https://www.coursera.org/learn/neural-networks-deep-learning</w:t>
              </w:r>
            </w:hyperlink>
          </w:p>
          <w:p w14:paraId="76E61B1F" w14:textId="46062915" w:rsid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Pr="00EA5B1D">
                <w:rPr>
                  <w:rStyle w:val="af9"/>
                  <w:sz w:val="20"/>
                  <w:szCs w:val="20"/>
                  <w:lang w:val="en-US"/>
                </w:rPr>
                <w:t>https://www.udemy.com/course/deeplearning_x/</w:t>
              </w:r>
            </w:hyperlink>
          </w:p>
          <w:p w14:paraId="0143E54B" w14:textId="43357472" w:rsidR="0020530B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r w:rsidRPr="0020530B">
              <w:rPr>
                <w:color w:val="000000"/>
                <w:sz w:val="20"/>
                <w:szCs w:val="20"/>
                <w:lang w:val="en-US"/>
              </w:rPr>
              <w:t>https://www.udemy.com/course/data-science-deep-learning-in-python/</w:t>
            </w:r>
          </w:p>
          <w:p w14:paraId="30BA8672" w14:textId="0C1074C3" w:rsidR="00A02A85" w:rsidRPr="00EB2E8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575383B8" w14:textId="7C87A7C1" w:rsidR="0020530B" w:rsidRPr="0020530B" w:rsidRDefault="00A02A85" w:rsidP="00205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0530B">
              <w:rPr>
                <w:color w:val="000000"/>
                <w:sz w:val="20"/>
                <w:szCs w:val="20"/>
                <w:lang w:val="kk-KZ"/>
              </w:rPr>
              <w:t>1.</w:t>
            </w:r>
            <w:r w:rsidR="0020530B" w:rsidRPr="0020530B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Anaconda Navigator Python</w:t>
            </w:r>
          </w:p>
          <w:p w14:paraId="15687F85" w14:textId="77777777" w:rsidR="00A02A8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20530B">
              <w:rPr>
                <w:color w:val="000000"/>
                <w:sz w:val="20"/>
                <w:szCs w:val="20"/>
                <w:lang w:val="en-US"/>
              </w:rPr>
              <w:t xml:space="preserve"> PyCharm</w:t>
            </w:r>
          </w:p>
          <w:p w14:paraId="1245F561" w14:textId="77777777" w:rsidR="0020530B" w:rsidRDefault="0020530B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Microsoft Visual Studio</w:t>
            </w:r>
          </w:p>
          <w:p w14:paraId="5FBEBF46" w14:textId="77777777" w:rsidR="00EB2E8D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Visual code</w:t>
            </w:r>
          </w:p>
          <w:p w14:paraId="56112C75" w14:textId="114FAF61" w:rsidR="00EB2E8D" w:rsidRPr="0020530B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Sublime</w:t>
            </w:r>
          </w:p>
        </w:tc>
      </w:tr>
    </w:tbl>
    <w:p w14:paraId="10F6F5FC" w14:textId="728AC2A2" w:rsidR="00A02A85" w:rsidRPr="00C355C1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94837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021DDEF3" w:rsidR="00F24096" w:rsidRPr="00C355C1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703760" w:rsidRPr="00703760">
              <w:rPr>
                <w:sz w:val="20"/>
                <w:szCs w:val="20"/>
                <w:lang w:val="kk-KZ"/>
              </w:rPr>
              <w:t>vladislav.karyukin@kaznu.kz</w:t>
            </w:r>
            <w:r w:rsidR="00703760" w:rsidRPr="00740908">
              <w:rPr>
                <w:sz w:val="20"/>
                <w:szCs w:val="20"/>
                <w:lang w:val="kk-KZ"/>
              </w:rPr>
              <w:t xml:space="preserve"> </w:t>
            </w:r>
            <w:r w:rsidR="00703760"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6" w:history="1">
              <w:r w:rsidR="00703760" w:rsidRPr="00703760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E94837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C355C1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E53F2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786AC9B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662B55C7" w:rsidR="00703760" w:rsidRPr="004B2BA6" w:rsidRDefault="000F5866" w:rsidP="0070376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4EFEB72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703760" w:rsidRDefault="00EC2901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7037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703760" w:rsidRDefault="00C82184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703760" w:rsidRDefault="005337E5" w:rsidP="00C82184">
            <w:pPr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3A9C41B8" w:rsidR="008642A4" w:rsidRPr="00F94701" w:rsidRDefault="001842CB" w:rsidP="003209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B30E6C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F94701">
              <w:rPr>
                <w:b/>
                <w:bCs/>
                <w:sz w:val="20"/>
                <w:szCs w:val="20"/>
              </w:rPr>
              <w:t>А</w:t>
            </w:r>
            <w:r w:rsidR="00F94701" w:rsidRPr="00F94701">
              <w:rPr>
                <w:b/>
                <w:bCs/>
                <w:sz w:val="20"/>
                <w:szCs w:val="20"/>
                <w:lang w:val="kk-KZ"/>
              </w:rPr>
              <w:t>қпараттық жүйелердің қауіпсіздігін бағалау үлгілері</w:t>
            </w:r>
          </w:p>
        </w:tc>
      </w:tr>
      <w:tr w:rsidR="00BF5571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4C7D4C29" w:rsidR="00BF5571" w:rsidRPr="003209B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036DE8" w:rsidRPr="00036DE8">
              <w:rPr>
                <w:sz w:val="20"/>
                <w:szCs w:val="20"/>
                <w:lang w:val="kk-KZ"/>
              </w:rPr>
              <w:t>Ақпараттық жүйелердің қауіптері мен осалдықтары: жіктелуі және сипаттамалары.</w:t>
            </w:r>
          </w:p>
        </w:tc>
        <w:tc>
          <w:tcPr>
            <w:tcW w:w="860" w:type="dxa"/>
          </w:tcPr>
          <w:p w14:paraId="1FC6CB41" w14:textId="3CE804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4ED80A15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036DE8" w:rsidRPr="00036DE8">
              <w:rPr>
                <w:sz w:val="20"/>
                <w:szCs w:val="20"/>
                <w:lang w:val="kk-KZ"/>
              </w:rPr>
              <w:t>Типтік ақпараттық жүйедегі қауіптер мен осалдықтарды талдау</w:t>
            </w:r>
          </w:p>
        </w:tc>
        <w:tc>
          <w:tcPr>
            <w:tcW w:w="860" w:type="dxa"/>
          </w:tcPr>
          <w:p w14:paraId="5BCFE1C3" w14:textId="2C0AA3D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0BC3F378" w:rsidR="00BF5571" w:rsidRPr="00036DE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2-Д.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036DE8" w:rsidRPr="00036DE8">
              <w:rPr>
                <w:sz w:val="20"/>
                <w:szCs w:val="20"/>
                <w:lang w:val="kk-KZ"/>
              </w:rPr>
              <w:t>Ақпараттық қауіпсіздікте тәуекелді бағалаудың үлгілері мен әдістері</w:t>
            </w:r>
          </w:p>
        </w:tc>
        <w:tc>
          <w:tcPr>
            <w:tcW w:w="860" w:type="dxa"/>
          </w:tcPr>
          <w:p w14:paraId="37331017" w14:textId="2F3D7A5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305C6124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Сандық тәуекелді бағалау: күтілетін зиянды есептеу</w:t>
            </w:r>
          </w:p>
        </w:tc>
        <w:tc>
          <w:tcPr>
            <w:tcW w:w="860" w:type="dxa"/>
          </w:tcPr>
          <w:p w14:paraId="665E30B4" w14:textId="648BAE7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7563FC4C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3-Д.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Желі трафигіндегі күрделі қауіптерді анықтау үшін нейрондық желілерді пайдалану</w:t>
            </w:r>
          </w:p>
        </w:tc>
        <w:tc>
          <w:tcPr>
            <w:tcW w:w="860" w:type="dxa"/>
          </w:tcPr>
          <w:p w14:paraId="1D66F1E5" w14:textId="5DB0773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302CC36D" w:rsidR="00BF5571" w:rsidRPr="00036DE8" w:rsidRDefault="00BF5571" w:rsidP="00BF5571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DE8">
              <w:rPr>
                <w:b/>
                <w:bCs/>
                <w:color w:val="000000" w:themeColor="text1"/>
                <w:sz w:val="20"/>
                <w:szCs w:val="20"/>
              </w:rPr>
              <w:t>3-</w:t>
            </w:r>
            <w:r w:rsidR="00C46464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036D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036DE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36DE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6DE8" w:rsidRPr="00036DE8">
              <w:rPr>
                <w:color w:val="000000" w:themeColor="text1"/>
                <w:sz w:val="20"/>
                <w:szCs w:val="20"/>
                <w:lang w:val="kk-KZ"/>
              </w:rPr>
              <w:t>DDoS шабуылдарын анықтау үшін нейрондық желілерді үйрету</w:t>
            </w:r>
          </w:p>
        </w:tc>
        <w:tc>
          <w:tcPr>
            <w:tcW w:w="860" w:type="dxa"/>
          </w:tcPr>
          <w:p w14:paraId="189BA33B" w14:textId="55DAB2C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10A9BB8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4-Д.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XSS және фишингтік қауіптерді жіктеу әдістерін зерттеу</w:t>
            </w:r>
          </w:p>
        </w:tc>
        <w:tc>
          <w:tcPr>
            <w:tcW w:w="860" w:type="dxa"/>
          </w:tcPr>
          <w:p w14:paraId="0E01C7B6" w14:textId="420A4E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2297AD59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>4-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1477D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477D3">
              <w:rPr>
                <w:b/>
                <w:bCs/>
                <w:sz w:val="20"/>
                <w:szCs w:val="20"/>
              </w:rPr>
              <w:t>.</w:t>
            </w:r>
            <w:r w:rsidRPr="001477D3">
              <w:rPr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XSS және фишинг қауіптерін жіктеу үшін оқыту үлгілері</w:t>
            </w:r>
          </w:p>
        </w:tc>
        <w:tc>
          <w:tcPr>
            <w:tcW w:w="860" w:type="dxa"/>
          </w:tcPr>
          <w:p w14:paraId="6104F9D5" w14:textId="206A7BB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7B510C67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 xml:space="preserve">5-Д. </w:t>
            </w:r>
            <w:r w:rsidR="00F70180" w:rsidRPr="00F70180">
              <w:rPr>
                <w:sz w:val="20"/>
                <w:szCs w:val="20"/>
                <w:lang w:val="kk-KZ"/>
              </w:rPr>
              <w:t>SQL инъекциясын жіктеу әдістерін зерттеу</w:t>
            </w:r>
          </w:p>
        </w:tc>
        <w:tc>
          <w:tcPr>
            <w:tcW w:w="860" w:type="dxa"/>
          </w:tcPr>
          <w:p w14:paraId="71D44693" w14:textId="30183D7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16F50385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5571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0BDD41CD" w:rsidR="00BF5571" w:rsidRPr="00BA7EDD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F70180" w:rsidRPr="00F70180">
              <w:rPr>
                <w:sz w:val="20"/>
                <w:szCs w:val="20"/>
                <w:lang w:val="kk-KZ"/>
              </w:rPr>
              <w:t>SQL инъекциясының классификациясы үшін оқыту үлгілері</w:t>
            </w:r>
          </w:p>
        </w:tc>
        <w:tc>
          <w:tcPr>
            <w:tcW w:w="860" w:type="dxa"/>
          </w:tcPr>
          <w:p w14:paraId="5931CBDB" w14:textId="2CFA19D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5094BD3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299872BB" w14:textId="77777777" w:rsidTr="79E482F3">
        <w:trPr>
          <w:trHeight w:val="285"/>
        </w:trPr>
        <w:tc>
          <w:tcPr>
            <w:tcW w:w="1135" w:type="dxa"/>
            <w:vMerge/>
          </w:tcPr>
          <w:p w14:paraId="75DF71B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2D66F91" w14:textId="03589C1F" w:rsidR="00BF5571" w:rsidRDefault="00BF5571" w:rsidP="00BF5571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5B0960">
              <w:rPr>
                <w:sz w:val="20"/>
                <w:szCs w:val="20"/>
                <w:lang w:val="kk-KZ"/>
              </w:rPr>
              <w:t>Нейрондық желілерді қолданатын жүйені әзірлеу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 w:rsidRPr="79E482F3">
              <w:rPr>
                <w:sz w:val="20"/>
                <w:szCs w:val="20"/>
              </w:rPr>
              <w:t xml:space="preserve"> </w:t>
            </w:r>
          </w:p>
          <w:p w14:paraId="1819F5BD" w14:textId="4BD42B9C" w:rsidR="00BF5571" w:rsidRPr="005B0960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36F5042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0ACA08F" w14:textId="752BADC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5571" w:rsidRPr="003F2DC5" w14:paraId="52938F05" w14:textId="77777777" w:rsidTr="79E482F3">
        <w:tc>
          <w:tcPr>
            <w:tcW w:w="10509" w:type="dxa"/>
            <w:gridSpan w:val="4"/>
          </w:tcPr>
          <w:p w14:paraId="7D878202" w14:textId="783AAD7F" w:rsidR="00BF5571" w:rsidRPr="00B30E6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B30E6C">
              <w:rPr>
                <w:b/>
                <w:bCs/>
                <w:sz w:val="20"/>
                <w:szCs w:val="20"/>
              </w:rPr>
              <w:t xml:space="preserve">-МОДУЛЬ </w:t>
            </w:r>
            <w:r w:rsidRPr="00B30E6C">
              <w:rPr>
                <w:b/>
                <w:bCs/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</w:tr>
      <w:tr w:rsidR="00BF5571" w:rsidRPr="000475AC" w14:paraId="600230E7" w14:textId="77777777" w:rsidTr="79E482F3">
        <w:tc>
          <w:tcPr>
            <w:tcW w:w="1135" w:type="dxa"/>
            <w:vMerge w:val="restart"/>
          </w:tcPr>
          <w:p w14:paraId="01E29C3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2EDECC3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55C1">
              <w:rPr>
                <w:b/>
                <w:bCs/>
                <w:sz w:val="20"/>
                <w:szCs w:val="20"/>
                <w:lang w:val="en-US"/>
              </w:rPr>
              <w:t>6-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C355C1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Convolutional </w:t>
            </w:r>
            <w:r w:rsidRPr="003209BC">
              <w:rPr>
                <w:sz w:val="20"/>
                <w:szCs w:val="20"/>
                <w:lang w:val="en-US"/>
              </w:rPr>
              <w:t>neural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en-US"/>
              </w:rPr>
              <w:t>network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651B0E0A" w14:textId="491F09BA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51B7A8C3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0CF0B825" w14:textId="77777777" w:rsidTr="79E482F3">
        <w:tc>
          <w:tcPr>
            <w:tcW w:w="1135" w:type="dxa"/>
            <w:vMerge/>
          </w:tcPr>
          <w:p w14:paraId="2757246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13E76B74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2C2777">
              <w:rPr>
                <w:sz w:val="20"/>
                <w:szCs w:val="20"/>
                <w:lang w:val="kk-KZ"/>
              </w:rPr>
              <w:t xml:space="preserve">Convolutional neural network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BD3CAA0" w14:textId="46C4F7BE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0DD21AC2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E94837" w14:paraId="39640F7D" w14:textId="77777777" w:rsidTr="79E482F3">
        <w:tc>
          <w:tcPr>
            <w:tcW w:w="1135" w:type="dxa"/>
            <w:vMerge/>
          </w:tcPr>
          <w:p w14:paraId="53459767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FCE29A7" w14:textId="141E3923" w:rsidR="00BF5571" w:rsidRPr="00C355C1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«Пайдаланушы пікірлерін жіктеу үшін нейрондық желі модельдерін оқыту» 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1320C057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F5571" w:rsidRPr="000475AC" w14:paraId="46A4A182" w14:textId="77777777" w:rsidTr="79E482F3">
        <w:tc>
          <w:tcPr>
            <w:tcW w:w="1135" w:type="dxa"/>
            <w:vMerge w:val="restart"/>
          </w:tcPr>
          <w:p w14:paraId="09D5113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74D18178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7-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Long </w:t>
            </w:r>
            <w:r>
              <w:rPr>
                <w:sz w:val="20"/>
                <w:szCs w:val="20"/>
                <w:lang w:val="en-US"/>
              </w:rPr>
              <w:t>s</w:t>
            </w:r>
            <w:r w:rsidRPr="000475AC">
              <w:rPr>
                <w:sz w:val="20"/>
                <w:szCs w:val="20"/>
                <w:lang w:val="en-US"/>
              </w:rPr>
              <w:t xml:space="preserve">hort-term </w:t>
            </w:r>
            <w:r>
              <w:rPr>
                <w:sz w:val="20"/>
                <w:szCs w:val="20"/>
                <w:lang w:val="en-US"/>
              </w:rPr>
              <w:t>memory</w:t>
            </w:r>
            <w:r w:rsidRPr="000475AC">
              <w:rPr>
                <w:sz w:val="20"/>
                <w:szCs w:val="20"/>
                <w:lang w:val="en-US"/>
              </w:rPr>
              <w:t xml:space="preserve"> neural network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537C9AB2" w14:textId="0D60FF54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505936C1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41DE7F2C" w14:textId="77777777" w:rsidTr="79E482F3">
        <w:tc>
          <w:tcPr>
            <w:tcW w:w="1135" w:type="dxa"/>
            <w:vMerge/>
          </w:tcPr>
          <w:p w14:paraId="677A98A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3D241496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C2777">
              <w:rPr>
                <w:sz w:val="20"/>
                <w:szCs w:val="20"/>
                <w:lang w:val="kk-KZ"/>
              </w:rPr>
              <w:t>Long short-term memory 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502C11A7" w14:textId="5D30020B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5AE1167" w14:textId="09965F63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2C759B0" w14:textId="602A2A8E" w:rsidR="00BF5571" w:rsidRPr="00697944" w:rsidRDefault="00BF5571" w:rsidP="00BF557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4C8630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8D6013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F5571" w:rsidRPr="000475AC" w14:paraId="240FB1C8" w14:textId="77777777" w:rsidTr="79E482F3">
        <w:tc>
          <w:tcPr>
            <w:tcW w:w="1135" w:type="dxa"/>
            <w:vMerge w:val="restart"/>
          </w:tcPr>
          <w:p w14:paraId="424F699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1820EEAC" w:rsidR="00BF5571" w:rsidRPr="000475A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0475AC">
              <w:rPr>
                <w:sz w:val="20"/>
                <w:szCs w:val="20"/>
                <w:lang w:val="en-US"/>
              </w:rPr>
              <w:t xml:space="preserve"> neural network </w:t>
            </w:r>
            <w:r w:rsidRPr="000475A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3C5F8DE6" w14:textId="15CB599C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4F8F01E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248A4" w14:paraId="414E9086" w14:textId="77777777" w:rsidTr="79E482F3">
        <w:tc>
          <w:tcPr>
            <w:tcW w:w="1135" w:type="dxa"/>
            <w:vMerge/>
          </w:tcPr>
          <w:p w14:paraId="3F1B0CC6" w14:textId="77777777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0BC5E931" w14:textId="453F8965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096A">
              <w:rPr>
                <w:b/>
                <w:bCs/>
                <w:sz w:val="20"/>
                <w:szCs w:val="20"/>
                <w:lang w:val="en-US"/>
              </w:rPr>
              <w:t>8-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8096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 w:rsidRPr="003248A4">
              <w:rPr>
                <w:sz w:val="20"/>
                <w:szCs w:val="20"/>
                <w:lang w:val="kk-KZ"/>
              </w:rPr>
              <w:t xml:space="preserve">unit </w:t>
            </w:r>
            <w:r w:rsidRPr="002C2777">
              <w:rPr>
                <w:sz w:val="20"/>
                <w:szCs w:val="20"/>
                <w:lang w:val="kk-KZ"/>
              </w:rPr>
              <w:t>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28FA76F" w14:textId="35396195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1734BA" w14:textId="0D20B300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2CEEEFE" w14:textId="77777777" w:rsidTr="00465A92">
        <w:tc>
          <w:tcPr>
            <w:tcW w:w="8922" w:type="dxa"/>
            <w:gridSpan w:val="2"/>
          </w:tcPr>
          <w:p w14:paraId="7B6246A5" w14:textId="5970CF26" w:rsidR="00BF5571" w:rsidRPr="79E482F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</w:tcPr>
          <w:p w14:paraId="043D303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A705739" w14:textId="28F5957D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BF5571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15D83B9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9-Д.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GPT, BERT сияқты үлкен тілдік модельдердің эволюциясының сипаттамасы және олардың архитектуралық ерекшеліктері</w:t>
            </w:r>
          </w:p>
        </w:tc>
        <w:tc>
          <w:tcPr>
            <w:tcW w:w="860" w:type="dxa"/>
          </w:tcPr>
          <w:p w14:paraId="2BFB5AD3" w14:textId="2D05BB9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C5C538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BC0B8CD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9-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lang w:val="kk-KZ"/>
              </w:rPr>
              <w:t xml:space="preserve"> </w:t>
            </w:r>
            <w:r w:rsidRPr="00336461">
              <w:rPr>
                <w:sz w:val="20"/>
                <w:szCs w:val="20"/>
                <w:lang w:val="kk-KZ"/>
              </w:rPr>
              <w:t>Таңдалған деректер жиынтығы негізінде мәтінді жіктеу үшін BERT үлгісін жасау</w:t>
            </w:r>
          </w:p>
        </w:tc>
        <w:tc>
          <w:tcPr>
            <w:tcW w:w="860" w:type="dxa"/>
          </w:tcPr>
          <w:p w14:paraId="54BEE2F5" w14:textId="4FFB9D2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CFC96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78A37E2D" w:rsidR="00BF5571" w:rsidRPr="0058193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 xml:space="preserve">«Пайдаланушы пікірлерін жіктеу үшін </w:t>
            </w:r>
            <w:r w:rsidR="006D73EA">
              <w:rPr>
                <w:sz w:val="20"/>
                <w:szCs w:val="20"/>
                <w:lang w:val="en-US"/>
              </w:rPr>
              <w:t>LLM</w:t>
            </w:r>
            <w:r w:rsidR="006D73EA" w:rsidRPr="006D73EA">
              <w:rPr>
                <w:sz w:val="20"/>
                <w:szCs w:val="20"/>
              </w:rPr>
              <w:t>-</w:t>
            </w:r>
            <w:r w:rsidR="006D73EA">
              <w:rPr>
                <w:sz w:val="20"/>
                <w:szCs w:val="20"/>
                <w:lang w:val="kk-KZ"/>
              </w:rPr>
              <w:t>ді</w:t>
            </w:r>
            <w:r w:rsidRPr="00A3673E">
              <w:rPr>
                <w:sz w:val="20"/>
                <w:szCs w:val="20"/>
                <w:lang w:val="kk-KZ"/>
              </w:rPr>
              <w:t xml:space="preserve"> оқыту» 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487C8D95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3BBB94FE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Трансформаторлардың архитектурасын талдау, назар аудару және олардың қазіргі заманғы LLM-дегі рөлі</w:t>
            </w:r>
          </w:p>
        </w:tc>
        <w:tc>
          <w:tcPr>
            <w:tcW w:w="860" w:type="dxa"/>
          </w:tcPr>
          <w:p w14:paraId="23E11B81" w14:textId="02C7B0B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612FBBC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49C1A7C1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6461">
              <w:rPr>
                <w:b/>
                <w:bCs/>
                <w:sz w:val="20"/>
                <w:szCs w:val="20"/>
              </w:rPr>
              <w:t>10-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33646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36461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sz w:val="20"/>
                <w:szCs w:val="20"/>
                <w:lang w:val="kk-KZ"/>
              </w:rPr>
              <w:t xml:space="preserve"> Мәтіндердегі сезімді талдау мәселесін шешу үшін БЕРТ қолдану</w:t>
            </w:r>
          </w:p>
        </w:tc>
        <w:tc>
          <w:tcPr>
            <w:tcW w:w="860" w:type="dxa"/>
          </w:tcPr>
          <w:p w14:paraId="53473718" w14:textId="41D3190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196790" w14:textId="7F44C4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6A209CA1" w14:textId="77777777" w:rsidTr="79E482F3">
        <w:tc>
          <w:tcPr>
            <w:tcW w:w="10509" w:type="dxa"/>
            <w:gridSpan w:val="4"/>
          </w:tcPr>
          <w:p w14:paraId="2209B990" w14:textId="06994F4A" w:rsidR="00BF5571" w:rsidRPr="00697944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3-МОДУЛЬ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F94701">
              <w:rPr>
                <w:b/>
                <w:bCs/>
                <w:sz w:val="20"/>
                <w:szCs w:val="20"/>
                <w:lang w:val="kk-KZ"/>
              </w:rPr>
              <w:t>Үлкен тіл үлгілері</w:t>
            </w:r>
          </w:p>
        </w:tc>
      </w:tr>
      <w:tr w:rsidR="00BF5571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5FA0EAF0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11-Д.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BERT-ті мәтінді жіктеуге және деректерді өңдеуге қолдану</w:t>
            </w:r>
          </w:p>
        </w:tc>
        <w:tc>
          <w:tcPr>
            <w:tcW w:w="860" w:type="dxa"/>
          </w:tcPr>
          <w:p w14:paraId="167CA1BA" w14:textId="19CB5BF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1C92845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0E0099" w14:paraId="02B59523" w14:textId="77777777" w:rsidTr="79E482F3">
        <w:tc>
          <w:tcPr>
            <w:tcW w:w="1135" w:type="dxa"/>
            <w:vMerge/>
          </w:tcPr>
          <w:p w14:paraId="6FAF2B9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27940B12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E0099">
              <w:rPr>
                <w:b/>
                <w:bCs/>
                <w:sz w:val="20"/>
                <w:szCs w:val="20"/>
              </w:rPr>
              <w:t>11-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0E009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E0099">
              <w:rPr>
                <w:b/>
                <w:bCs/>
                <w:sz w:val="20"/>
                <w:szCs w:val="20"/>
              </w:rPr>
              <w:t>.</w:t>
            </w:r>
            <w:r w:rsidRPr="000E0099">
              <w:rPr>
                <w:sz w:val="20"/>
                <w:szCs w:val="20"/>
                <w:lang w:val="kk-KZ"/>
              </w:rPr>
              <w:t xml:space="preserve"> Берілген тақырып бойынша мәтін құру үшін GPT үлгісін пайдалану</w:t>
            </w:r>
          </w:p>
        </w:tc>
        <w:tc>
          <w:tcPr>
            <w:tcW w:w="860" w:type="dxa"/>
          </w:tcPr>
          <w:p w14:paraId="011EE51D" w14:textId="2994ED4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4838BE" w14:textId="3BEAFA8E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0E0099" w14:paraId="4C1A18DF" w14:textId="77777777" w:rsidTr="79E482F3">
        <w:tc>
          <w:tcPr>
            <w:tcW w:w="1135" w:type="dxa"/>
            <w:vMerge/>
          </w:tcPr>
          <w:p w14:paraId="6BEE23B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9DE36F9" w14:textId="5C464DEC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EFA72D" w14:textId="7777777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0ED5672" w14:textId="409AFF5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0D5D3633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248A4">
              <w:rPr>
                <w:b/>
                <w:bCs/>
                <w:sz w:val="20"/>
                <w:szCs w:val="20"/>
              </w:rPr>
              <w:t xml:space="preserve">12-Д. </w:t>
            </w:r>
            <w:r w:rsidRPr="003248A4">
              <w:rPr>
                <w:sz w:val="20"/>
                <w:szCs w:val="20"/>
                <w:lang w:val="kk-KZ"/>
              </w:rPr>
              <w:t>Мәтінді автоматты түрде жасау үшін GPT үлгілерін пайдалану</w:t>
            </w:r>
          </w:p>
        </w:tc>
        <w:tc>
          <w:tcPr>
            <w:tcW w:w="860" w:type="dxa"/>
          </w:tcPr>
          <w:p w14:paraId="6422F453" w14:textId="515F73A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154279B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BF5571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52BC9BB8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12-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45018">
              <w:rPr>
                <w:sz w:val="20"/>
                <w:szCs w:val="20"/>
                <w:lang w:val="kk-KZ"/>
              </w:rPr>
              <w:t>Интернет деректері негізінде өнімдер немесе қызметтер туралы мәтіндік шолуларды жасау үлгісін әзірлеу</w:t>
            </w:r>
          </w:p>
        </w:tc>
        <w:tc>
          <w:tcPr>
            <w:tcW w:w="860" w:type="dxa"/>
          </w:tcPr>
          <w:p w14:paraId="76FDDF2C" w14:textId="55E432E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4679067" w14:textId="3243EB1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665CBE9F" w14:textId="77777777" w:rsidTr="79E482F3">
        <w:tc>
          <w:tcPr>
            <w:tcW w:w="1135" w:type="dxa"/>
            <w:vMerge/>
          </w:tcPr>
          <w:p w14:paraId="46F0B71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ADD35E" w14:textId="7A8CB0AA" w:rsidR="00BF5571" w:rsidRPr="79E482F3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</w:t>
            </w:r>
            <w:r w:rsidRPr="00581936">
              <w:rPr>
                <w:sz w:val="20"/>
                <w:szCs w:val="20"/>
                <w:lang w:val="kk-KZ"/>
              </w:rPr>
              <w:t>Нейрондық желі модельдерін пайдаланып веб-қосымшаны әзірлеу</w:t>
            </w:r>
            <w:r w:rsidRPr="00A3673E">
              <w:rPr>
                <w:sz w:val="20"/>
                <w:szCs w:val="20"/>
                <w:lang w:val="kk-KZ"/>
              </w:rPr>
              <w:t xml:space="preserve">» 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7692777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BFD10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1F7935FF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13-Д.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 оқытудағы күрделіліктер мен қиындықтар: шамадан тыс орнату, оңтайландыру</w:t>
            </w:r>
          </w:p>
        </w:tc>
        <w:tc>
          <w:tcPr>
            <w:tcW w:w="860" w:type="dxa"/>
          </w:tcPr>
          <w:p w14:paraId="3B502940" w14:textId="2E824121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29DF4F7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53759A8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13-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Құжаттарды санаттарға жіктейтін жүйені құру</w:t>
            </w:r>
          </w:p>
        </w:tc>
        <w:tc>
          <w:tcPr>
            <w:tcW w:w="860" w:type="dxa"/>
          </w:tcPr>
          <w:p w14:paraId="632D7D85" w14:textId="56096E12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3354CE1" w14:textId="30CBA95C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799D582A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14-Д.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желілердің сапасын бағалаудың заманауи әдістері</w:t>
            </w:r>
          </w:p>
        </w:tc>
        <w:tc>
          <w:tcPr>
            <w:tcW w:w="860" w:type="dxa"/>
          </w:tcPr>
          <w:p w14:paraId="714D747A" w14:textId="42D095A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102CEB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4893911D" w:rsidR="00BF5571" w:rsidRPr="00935EC8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14-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Чат-боттар мен пайдаланушы әрекеттесу сценарийлерін жасау үшін GPT пайдалану</w:t>
            </w:r>
          </w:p>
        </w:tc>
        <w:tc>
          <w:tcPr>
            <w:tcW w:w="860" w:type="dxa"/>
          </w:tcPr>
          <w:p w14:paraId="115C91C1" w14:textId="570953A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264776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2A7DB81B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5BC51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1E8E02E8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F5571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BF5571" w:rsidRPr="00F169E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69E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29F6F554" w:rsidR="00BF5571" w:rsidRPr="00876EB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15-Д. </w:t>
            </w:r>
            <w:r w:rsidRPr="003248A4">
              <w:rPr>
                <w:sz w:val="20"/>
                <w:szCs w:val="20"/>
                <w:lang w:val="kk-KZ"/>
              </w:rPr>
              <w:t>Этикалық мәселелер және практикалық қолданбалардағы нейрондық желілердің болашағы</w:t>
            </w:r>
          </w:p>
        </w:tc>
        <w:tc>
          <w:tcPr>
            <w:tcW w:w="860" w:type="dxa"/>
          </w:tcPr>
          <w:p w14:paraId="4349AE46" w14:textId="1BDBD5F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49122E3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1D901671" w:rsidR="00BF5571" w:rsidRPr="00935EC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35EC8">
              <w:rPr>
                <w:b/>
                <w:bCs/>
                <w:sz w:val="20"/>
                <w:szCs w:val="20"/>
              </w:rPr>
              <w:t>15-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935EC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35EC8">
              <w:rPr>
                <w:b/>
                <w:bCs/>
                <w:sz w:val="20"/>
                <w:szCs w:val="20"/>
              </w:rPr>
              <w:t>.</w:t>
            </w:r>
            <w:r w:rsidRPr="00935EC8">
              <w:rPr>
                <w:sz w:val="20"/>
                <w:szCs w:val="20"/>
                <w:lang w:val="kk-KZ"/>
              </w:rPr>
              <w:t xml:space="preserve"> LLM өнімділігін оңтайландыруды енгізу</w:t>
            </w:r>
          </w:p>
        </w:tc>
        <w:tc>
          <w:tcPr>
            <w:tcW w:w="860" w:type="dxa"/>
          </w:tcPr>
          <w:p w14:paraId="233FF543" w14:textId="5BAB139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5984973A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F5571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F5571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5A53D44" w:rsidR="00206E46" w:rsidRPr="004762D2" w:rsidRDefault="008642A4" w:rsidP="004762D2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0657F14D" w14:textId="4DF35A3B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  <w:r w:rsidRPr="0037262E">
        <w:rPr>
          <w:rStyle w:val="eop"/>
          <w:sz w:val="20"/>
          <w:szCs w:val="20"/>
          <w:lang w:val="kk-KZ"/>
        </w:rPr>
        <w:t> </w:t>
      </w:r>
    </w:p>
    <w:p w14:paraId="76D0B95D" w14:textId="28CCF25C" w:rsidR="004947F8" w:rsidRPr="0037262E" w:rsidRDefault="004947F8" w:rsidP="006D73E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="0037262E" w:rsidRPr="79E482F3">
        <w:rPr>
          <w:b/>
          <w:bCs/>
          <w:sz w:val="20"/>
          <w:szCs w:val="20"/>
          <w:lang w:val="kk-KZ"/>
        </w:rPr>
        <w:t>БӨЖ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r w:rsidR="0037262E" w:rsidRPr="0037262E">
        <w:rPr>
          <w:b/>
          <w:bCs/>
          <w:sz w:val="20"/>
          <w:szCs w:val="20"/>
          <w:lang w:val="kk-KZ"/>
        </w:rPr>
        <w:t>Нейрондық желілерді қолданатын жүйені әзірлеу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="00F026EF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="00F026EF"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37262E" w:rsidRPr="00F76949" w14:paraId="3D6961EE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24762" w14:textId="77777777" w:rsidR="0037262E" w:rsidRPr="00F76949" w:rsidRDefault="0037262E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37262E" w:rsidRPr="00F76949" w14:paraId="0233A52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DEAD73" w14:textId="116C7419" w:rsidR="0037262E" w:rsidRPr="008B286E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0BAEB" w14:textId="506511F6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FF8E4F" w14:textId="16707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03245F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F9728C8" w14:textId="2AC16A5E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043316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288FD5" w14:textId="662C4D3C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22CB1A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D66D81" w14:textId="4F21D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7262E" w:rsidRPr="00147A65" w14:paraId="66BE65CB" w14:textId="77777777" w:rsidTr="00F026EF">
        <w:trPr>
          <w:trHeight w:val="375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F1AF" w14:textId="1F19A057" w:rsidR="0037262E" w:rsidRPr="00A252F2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7728" w14:textId="32B9A9CF" w:rsidR="0037262E" w:rsidRPr="006E5E0C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  <w:p w14:paraId="396B8D9C" w14:textId="4C6D1D8C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32EA" w14:textId="7A5AFD06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көпшілігін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</w:p>
          <w:p w14:paraId="064267D8" w14:textId="77777777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749" w14:textId="012C6CDA" w:rsidR="0037262E" w:rsidRPr="00B5271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CFBC" w14:textId="2733EB9A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 түсіну/түсінбеу</w:t>
            </w:r>
          </w:p>
        </w:tc>
      </w:tr>
      <w:tr w:rsidR="0037262E" w:rsidRPr="008B286E" w14:paraId="687507AF" w14:textId="77777777" w:rsidTr="00F026EF">
        <w:trPr>
          <w:trHeight w:val="6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862" w14:textId="118DF77D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D406" w14:textId="3EE94932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178" w14:textId="2AB58F69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0E0" w14:textId="25AB6A5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Нейрондық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A0B5" w14:textId="2C4B075A" w:rsidR="0037262E" w:rsidRPr="00F026EF" w:rsidRDefault="00F026EF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262E"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="0037262E"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37262E" w:rsidRPr="008B286E" w14:paraId="2DC9A91A" w14:textId="77777777" w:rsidTr="0037262E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ACCC" w14:textId="6261C976" w:rsidR="0037262E" w:rsidRPr="00B91449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0159" w14:textId="5C7A9785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0A59" w14:textId="512FE248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A3DE" w14:textId="1DBFA0A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4F16" w14:textId="5B8372B2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Жазба түсініксіз және оны орындау қиын. </w:t>
            </w: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4698DFA" w14:textId="4D1B50E2" w:rsidR="0037262E" w:rsidRPr="0037262E" w:rsidRDefault="00F026EF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bookmarkStart w:id="0" w:name="_Hlk179322093"/>
      <w:r>
        <w:rPr>
          <w:b/>
          <w:sz w:val="20"/>
          <w:szCs w:val="20"/>
          <w:lang w:val="kk-KZ"/>
        </w:rPr>
        <w:t xml:space="preserve">БӨЖ </w:t>
      </w:r>
      <w:r w:rsidR="0037262E" w:rsidRPr="0037262E">
        <w:rPr>
          <w:b/>
          <w:sz w:val="20"/>
          <w:szCs w:val="20"/>
          <w:lang w:val="kk-KZ"/>
        </w:rPr>
        <w:t xml:space="preserve">2. </w:t>
      </w:r>
      <w:r w:rsidRPr="00F026EF">
        <w:rPr>
          <w:b/>
          <w:bCs/>
          <w:sz w:val="20"/>
          <w:szCs w:val="20"/>
          <w:lang w:val="kk-KZ"/>
        </w:rPr>
        <w:t>Пайдаланушы пікірлерін жіктеу үшін нейрондық желі модельдерін оқыту</w:t>
      </w:r>
      <w:r w:rsidRPr="0037262E">
        <w:rPr>
          <w:b/>
          <w:sz w:val="20"/>
          <w:szCs w:val="20"/>
          <w:lang w:val="kk-KZ"/>
        </w:rPr>
        <w:t xml:space="preserve">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 w:rsid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7262E" w:rsidRPr="00F76949" w14:paraId="07AB3395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78719B" w14:textId="77777777" w:rsidR="0037262E" w:rsidRPr="00F76949" w:rsidRDefault="0037262E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EC4BD0" w:rsidRPr="00F76949" w14:paraId="3E98D6D8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E6A0A9" w14:textId="0C38E2C6" w:rsidR="00EC4BD0" w:rsidRPr="008B286E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C26097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411A338" w14:textId="172432FD" w:rsidR="00EC4BD0" w:rsidRPr="00F76949" w:rsidRDefault="00F023D6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650C72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39D83E" w14:textId="5FFCEE25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BDA72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28B3480" w14:textId="578425A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34DE0D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55688E" w14:textId="153798C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B117C" w:rsidRPr="00F76949" w14:paraId="6D9CC00B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6EC59" w14:textId="29BB1EEB" w:rsidR="00AB117C" w:rsidRPr="00D700D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96F3" w14:textId="566F33FA" w:rsidR="00AB117C" w:rsidRPr="006E5E0C" w:rsidRDefault="00AB117C" w:rsidP="00AB11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  <w:p w14:paraId="54704071" w14:textId="77777777" w:rsidR="00AB117C" w:rsidRPr="00F76949" w:rsidRDefault="00AB117C" w:rsidP="00AB117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DCA5" w14:textId="603CF708" w:rsidR="00AB117C" w:rsidRPr="00147A65" w:rsidRDefault="00AB117C" w:rsidP="00AB117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көпшілігін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</w:p>
          <w:p w14:paraId="4E5D4A1E" w14:textId="77777777" w:rsidR="00AB117C" w:rsidRPr="00F7694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3DBB" w14:textId="5BA8D873" w:rsidR="00AB117C" w:rsidRPr="0074029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 xml:space="preserve">нейрондық </w:t>
            </w:r>
            <w:r w:rsidRPr="0037262E">
              <w:rPr>
                <w:sz w:val="20"/>
                <w:szCs w:val="20"/>
                <w:lang w:val="kk-KZ"/>
              </w:rPr>
              <w:t>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129" w14:textId="65D7A9E4" w:rsidR="00AB117C" w:rsidRPr="00F76949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қалай жұмыс істейтінін </w:t>
            </w:r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 түсіну/түсінбеу</w:t>
            </w:r>
          </w:p>
        </w:tc>
      </w:tr>
      <w:tr w:rsidR="00AB117C" w:rsidRPr="00E94837" w14:paraId="2CF2B15E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05125" w14:textId="1A8995A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F662" w14:textId="7CFB1A5B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DD66" w14:textId="77553E84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0DA4" w14:textId="718BA39D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EEE5" w14:textId="434055F4" w:rsidR="00AB117C" w:rsidRPr="00AB117C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AB117C" w:rsidRPr="00F76949" w14:paraId="1F48EC66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2575" w14:textId="0C882E72" w:rsidR="00AB117C" w:rsidRPr="008B286E" w:rsidRDefault="00AB117C" w:rsidP="00AB117C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F030" w14:textId="14FCF23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4F2" w14:textId="46E4A01D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9A41" w14:textId="50FDA355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90A5" w14:textId="34FD3FF9" w:rsidR="00AB117C" w:rsidRPr="008B286E" w:rsidRDefault="00AB117C" w:rsidP="00AB117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bookmarkEnd w:id="0"/>
    </w:tbl>
    <w:p w14:paraId="473BCB53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</w:p>
    <w:p w14:paraId="3D5FDA8E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</w:pPr>
    </w:p>
    <w:p w14:paraId="4EC5298E" w14:textId="5BF411E8" w:rsidR="006D73EA" w:rsidRPr="0037262E" w:rsidRDefault="006D73EA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6D73EA">
        <w:rPr>
          <w:b/>
          <w:sz w:val="20"/>
          <w:szCs w:val="20"/>
          <w:lang w:val="kk-KZ"/>
        </w:rPr>
        <w:t>3</w:t>
      </w:r>
      <w:r w:rsidRPr="0037262E">
        <w:rPr>
          <w:b/>
          <w:sz w:val="20"/>
          <w:szCs w:val="20"/>
          <w:lang w:val="kk-KZ"/>
        </w:rPr>
        <w:t xml:space="preserve">. </w:t>
      </w:r>
      <w:r w:rsidRPr="006D73EA">
        <w:rPr>
          <w:b/>
          <w:bCs/>
          <w:sz w:val="20"/>
          <w:szCs w:val="20"/>
          <w:lang w:val="kk-KZ"/>
        </w:rPr>
        <w:t>Пайдаланушы пікірлерін жіктеу үшін LLM-ді оқыту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D73EA" w:rsidRPr="00F76949" w14:paraId="079228BB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D80DB1" w14:textId="77777777" w:rsidR="006D73EA" w:rsidRPr="00F76949" w:rsidRDefault="006D73EA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EC4BD0" w:rsidRPr="00F76949" w14:paraId="4C60E45B" w14:textId="77777777" w:rsidTr="00EC4BD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3130EE" w14:textId="3C64B0B2" w:rsidR="00EC4BD0" w:rsidRPr="008B286E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DB7A79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49F6D5F" w14:textId="717DC8CB" w:rsidR="00EC4BD0" w:rsidRPr="00F76949" w:rsidRDefault="00AD5331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74C170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E42DF3E" w14:textId="2F030776" w:rsidR="00EC4BD0" w:rsidRPr="00F76949" w:rsidRDefault="00AD5331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60F59D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C7F9984" w14:textId="0EE182E8" w:rsidR="00EC4BD0" w:rsidRPr="00F76949" w:rsidRDefault="008F3188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08DE2F" w14:textId="77777777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DE103F0" w14:textId="2F18A84D" w:rsidR="00EC4BD0" w:rsidRPr="00F76949" w:rsidRDefault="00EC4BD0" w:rsidP="00EC4BD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EC4BD0" w:rsidRPr="00E94837" w14:paraId="1E56C44F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54C8D" w14:textId="37487C06" w:rsidR="00EC4BD0" w:rsidRPr="00D700D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E1CC" w14:textId="4C39BCC9" w:rsidR="00EC4BD0" w:rsidRPr="00F14575" w:rsidRDefault="00EC4BD0" w:rsidP="00F14575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903" w14:textId="4EBD38D2" w:rsidR="00EC4BD0" w:rsidRPr="00F14575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көпшілігін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E31F" w14:textId="7D60B109" w:rsidR="00EC4BD0" w:rsidRPr="00F14575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FFD8" w14:textId="79B12517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</w:tc>
      </w:tr>
      <w:tr w:rsidR="00EC4BD0" w:rsidRPr="00E94837" w14:paraId="3D182FF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BF14" w14:textId="6DECF584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1478" w14:textId="5E035C00" w:rsidR="00EC4BD0" w:rsidRPr="00C355C1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0DE5" w14:textId="1EF1CF46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ң</w:t>
            </w:r>
            <w:r w:rsidR="00F14575">
              <w:rPr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F3EA" w14:textId="11CF0605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3D2A" w14:textId="3C5F7C66" w:rsidR="00EC4BD0" w:rsidRPr="00AB117C" w:rsidRDefault="00EC4BD0" w:rsidP="00F14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EC4BD0" w:rsidRPr="00F76949" w14:paraId="1B0E3A99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ABE" w14:textId="77777777" w:rsidR="00EC4BD0" w:rsidRPr="008B286E" w:rsidRDefault="00EC4BD0" w:rsidP="00EC4BD0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0B75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5893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EDC7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8DC4" w14:textId="77777777" w:rsidR="00EC4BD0" w:rsidRPr="008B286E" w:rsidRDefault="00EC4BD0" w:rsidP="00EC4BD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C47DA8F" w14:textId="5308E2E1" w:rsidR="00F14575" w:rsidRPr="00F14575" w:rsidRDefault="00F14575" w:rsidP="00F14575">
      <w:pPr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F14575">
        <w:rPr>
          <w:b/>
          <w:sz w:val="20"/>
          <w:szCs w:val="20"/>
          <w:lang w:val="kk-KZ"/>
        </w:rPr>
        <w:t>4</w:t>
      </w:r>
      <w:r w:rsidRPr="0037262E">
        <w:rPr>
          <w:b/>
          <w:sz w:val="20"/>
          <w:szCs w:val="20"/>
          <w:lang w:val="kk-KZ"/>
        </w:rPr>
        <w:t xml:space="preserve">. </w:t>
      </w:r>
      <w:r w:rsidRPr="00F14575">
        <w:rPr>
          <w:b/>
          <w:bCs/>
          <w:sz w:val="20"/>
          <w:szCs w:val="20"/>
          <w:lang w:val="kk-KZ"/>
        </w:rPr>
        <w:t>Нейрондық желі модельдерін пайдаланып веб-қосымшаны әзірлеу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14575" w:rsidRPr="00F76949" w14:paraId="113206D4" w14:textId="77777777" w:rsidTr="00B772AC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986A48" w14:textId="77777777" w:rsidR="00F14575" w:rsidRPr="00F76949" w:rsidRDefault="00F14575" w:rsidP="00B772AC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14575" w:rsidRPr="00F76949" w14:paraId="293D4AE0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3CAF1C" w14:textId="3602304E" w:rsidR="00F14575" w:rsidRPr="008B286E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50AE2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01DD3B" w14:textId="1F13A00F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D1CFD5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D5AD01" w14:textId="16787075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E48C70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9CDFC51" w14:textId="15315254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2A3AB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33046A" w14:textId="7136750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14575" w:rsidRPr="00E94837" w14:paraId="07686AB3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E2A4C" w14:textId="39A36A8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веб-қосымшанын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4EB" w14:textId="2DD90372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754D0701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B730" w14:textId="29C2EC45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140A6FCD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CA43" w14:textId="55F72966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киберқауіптерді тексеру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  <w:p w14:paraId="2EAF4E6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563C" w14:textId="33F52944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  <w:p w14:paraId="08D8FCD7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14575" w:rsidRPr="00E94837" w14:paraId="59AA129D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1F70B" w14:textId="1771A8D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Pr="00F14575">
              <w:rPr>
                <w:sz w:val="20"/>
                <w:szCs w:val="20"/>
                <w:lang w:val="kk-KZ"/>
              </w:rPr>
              <w:t>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 </w:t>
            </w:r>
            <w:r w:rsidRPr="00B5271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4CAB" w14:textId="76AB9F5D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құруға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нақты және қысқаша кіріспе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16A2" w14:textId="4115454E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жасауда </w:t>
            </w:r>
            <w:r w:rsidRPr="00F14575">
              <w:rPr>
                <w:sz w:val="20"/>
                <w:szCs w:val="20"/>
                <w:lang w:val="kk-KZ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2EDF" w14:textId="5E74722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 жасаудағы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6875221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8B2C" w14:textId="71B40D7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үлгілерінің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14575" w:rsidRPr="00F76949" w14:paraId="1ABADF15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625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B5F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E71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33D09B86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3DA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A8B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29CA46F2" w14:textId="519F8282" w:rsidR="004762D2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010810A" w14:textId="77777777" w:rsidR="004762D2" w:rsidRPr="00310C76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                  </w:t>
      </w:r>
    </w:p>
    <w:p w14:paraId="24332F48" w14:textId="77777777" w:rsidR="004762D2" w:rsidRPr="007928EB" w:rsidRDefault="004762D2" w:rsidP="004762D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5AA99E0B" w14:textId="3784BF7B" w:rsidR="004762D2" w:rsidRPr="004762D2" w:rsidRDefault="004762D2" w:rsidP="004762D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3820F160" w14:textId="77777777" w:rsidR="004762D2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62D8C07F" w14:textId="01B21728" w:rsidR="004762D2" w:rsidRPr="00B41BB8" w:rsidRDefault="004762D2" w:rsidP="004762D2">
      <w:pPr>
        <w:spacing w:after="120"/>
        <w:ind w:firstLine="48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 w:rsidR="00B41BB8">
        <w:rPr>
          <w:b/>
          <w:sz w:val="20"/>
          <w:szCs w:val="20"/>
          <w:lang w:val="kk-KZ"/>
        </w:rPr>
        <w:t>Турарбек Ә</w:t>
      </w:r>
      <w:r w:rsidR="00B41BB8">
        <w:rPr>
          <w:b/>
          <w:sz w:val="20"/>
          <w:szCs w:val="20"/>
        </w:rPr>
        <w:t>.Т.</w:t>
      </w:r>
    </w:p>
    <w:p w14:paraId="305DB310" w14:textId="77777777" w:rsidR="004762D2" w:rsidRPr="0006238E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15AB2802" w14:textId="21CED494" w:rsidR="004762D2" w:rsidRPr="0006238E" w:rsidRDefault="004762D2" w:rsidP="004762D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1CA2BA1A" w14:textId="77777777" w:rsidR="004762D2" w:rsidRDefault="004762D2">
      <w:pPr>
        <w:rPr>
          <w:sz w:val="20"/>
          <w:szCs w:val="20"/>
          <w:lang w:val="kk-KZ"/>
        </w:rPr>
      </w:pPr>
    </w:p>
    <w:sectPr w:rsidR="004762D2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B057" w14:textId="77777777" w:rsidR="00F04101" w:rsidRDefault="00F04101" w:rsidP="004C6A23">
      <w:r>
        <w:separator/>
      </w:r>
    </w:p>
  </w:endnote>
  <w:endnote w:type="continuationSeparator" w:id="0">
    <w:p w14:paraId="091BFCE8" w14:textId="77777777" w:rsidR="00F04101" w:rsidRDefault="00F04101" w:rsidP="004C6A23">
      <w:r>
        <w:continuationSeparator/>
      </w:r>
    </w:p>
  </w:endnote>
  <w:endnote w:type="continuationNotice" w:id="1">
    <w:p w14:paraId="5A5F036D" w14:textId="77777777" w:rsidR="00F04101" w:rsidRDefault="00F04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D8B9" w14:textId="77777777" w:rsidR="00F04101" w:rsidRDefault="00F04101" w:rsidP="004C6A23">
      <w:r>
        <w:separator/>
      </w:r>
    </w:p>
  </w:footnote>
  <w:footnote w:type="continuationSeparator" w:id="0">
    <w:p w14:paraId="3DA8EED2" w14:textId="77777777" w:rsidR="00F04101" w:rsidRDefault="00F04101" w:rsidP="004C6A23">
      <w:r>
        <w:continuationSeparator/>
      </w:r>
    </w:p>
  </w:footnote>
  <w:footnote w:type="continuationNotice" w:id="1">
    <w:p w14:paraId="43B014A4" w14:textId="77777777" w:rsidR="00F04101" w:rsidRDefault="00F041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16AE"/>
    <w:multiLevelType w:val="hybridMultilevel"/>
    <w:tmpl w:val="12EAFC74"/>
    <w:lvl w:ilvl="0" w:tplc="1E54F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4F7707"/>
    <w:multiLevelType w:val="hybridMultilevel"/>
    <w:tmpl w:val="2AAA0722"/>
    <w:lvl w:ilvl="0" w:tplc="3BEE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1DB7"/>
    <w:multiLevelType w:val="hybridMultilevel"/>
    <w:tmpl w:val="BE6A79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46B9F"/>
    <w:multiLevelType w:val="hybridMultilevel"/>
    <w:tmpl w:val="4F5AC02C"/>
    <w:lvl w:ilvl="0" w:tplc="CA7C7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6"/>
  </w:num>
  <w:num w:numId="2" w16cid:durableId="1401443517">
    <w:abstractNumId w:val="9"/>
  </w:num>
  <w:num w:numId="3" w16cid:durableId="300353422">
    <w:abstractNumId w:val="7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4"/>
  </w:num>
  <w:num w:numId="7" w16cid:durableId="945692548">
    <w:abstractNumId w:val="10"/>
  </w:num>
  <w:num w:numId="8" w16cid:durableId="465590531">
    <w:abstractNumId w:val="0"/>
  </w:num>
  <w:num w:numId="9" w16cid:durableId="1024016003">
    <w:abstractNumId w:val="13"/>
  </w:num>
  <w:num w:numId="10" w16cid:durableId="1802839198">
    <w:abstractNumId w:val="15"/>
  </w:num>
  <w:num w:numId="11" w16cid:durableId="1104880451">
    <w:abstractNumId w:val="14"/>
  </w:num>
  <w:num w:numId="12" w16cid:durableId="141428224">
    <w:abstractNumId w:val="12"/>
  </w:num>
  <w:num w:numId="13" w16cid:durableId="507332702">
    <w:abstractNumId w:val="11"/>
  </w:num>
  <w:num w:numId="14" w16cid:durableId="1088696733">
    <w:abstractNumId w:val="3"/>
  </w:num>
  <w:num w:numId="15" w16cid:durableId="312413321">
    <w:abstractNumId w:val="8"/>
  </w:num>
  <w:num w:numId="16" w16cid:durableId="618147279">
    <w:abstractNumId w:val="6"/>
  </w:num>
  <w:num w:numId="17" w16cid:durableId="52147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60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6DE8"/>
    <w:rsid w:val="000475AC"/>
    <w:rsid w:val="00051A37"/>
    <w:rsid w:val="000544CE"/>
    <w:rsid w:val="00057983"/>
    <w:rsid w:val="00057ECB"/>
    <w:rsid w:val="00061596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86A96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6A06"/>
    <w:rsid w:val="000C741D"/>
    <w:rsid w:val="000E0099"/>
    <w:rsid w:val="000E048B"/>
    <w:rsid w:val="000E1A39"/>
    <w:rsid w:val="000E3AA2"/>
    <w:rsid w:val="000E3B00"/>
    <w:rsid w:val="000E53F2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262E6"/>
    <w:rsid w:val="001304F7"/>
    <w:rsid w:val="00132634"/>
    <w:rsid w:val="00132689"/>
    <w:rsid w:val="001347E4"/>
    <w:rsid w:val="00137205"/>
    <w:rsid w:val="00143FEA"/>
    <w:rsid w:val="001477D3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971"/>
    <w:rsid w:val="001A4B41"/>
    <w:rsid w:val="001A5411"/>
    <w:rsid w:val="001A6AA6"/>
    <w:rsid w:val="001A7302"/>
    <w:rsid w:val="001B06C3"/>
    <w:rsid w:val="001B0F79"/>
    <w:rsid w:val="001B15C2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530B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777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09BC"/>
    <w:rsid w:val="00323280"/>
    <w:rsid w:val="00323908"/>
    <w:rsid w:val="003248A4"/>
    <w:rsid w:val="00325DC8"/>
    <w:rsid w:val="00330851"/>
    <w:rsid w:val="00334A17"/>
    <w:rsid w:val="003354BB"/>
    <w:rsid w:val="00336461"/>
    <w:rsid w:val="00337B25"/>
    <w:rsid w:val="0034309A"/>
    <w:rsid w:val="00351870"/>
    <w:rsid w:val="00361A10"/>
    <w:rsid w:val="00362E3D"/>
    <w:rsid w:val="00365EF8"/>
    <w:rsid w:val="00366E25"/>
    <w:rsid w:val="0037262E"/>
    <w:rsid w:val="00373A43"/>
    <w:rsid w:val="00373E69"/>
    <w:rsid w:val="003746E9"/>
    <w:rsid w:val="003762AA"/>
    <w:rsid w:val="00377B71"/>
    <w:rsid w:val="00377CDC"/>
    <w:rsid w:val="0038096A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2D2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6A2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936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15B"/>
    <w:rsid w:val="005A755D"/>
    <w:rsid w:val="005B0960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5BE7"/>
    <w:rsid w:val="006D67A9"/>
    <w:rsid w:val="006D6F87"/>
    <w:rsid w:val="006D70F3"/>
    <w:rsid w:val="006D73EA"/>
    <w:rsid w:val="006E0639"/>
    <w:rsid w:val="006E44D0"/>
    <w:rsid w:val="006F0081"/>
    <w:rsid w:val="006F43BE"/>
    <w:rsid w:val="006F58D2"/>
    <w:rsid w:val="00703145"/>
    <w:rsid w:val="00703760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336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44A5"/>
    <w:rsid w:val="00815E30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188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EC8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3673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17C"/>
    <w:rsid w:val="00AB438F"/>
    <w:rsid w:val="00AB5420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331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0E6C"/>
    <w:rsid w:val="00B344A6"/>
    <w:rsid w:val="00B37BBB"/>
    <w:rsid w:val="00B40560"/>
    <w:rsid w:val="00B41B1D"/>
    <w:rsid w:val="00B41BB8"/>
    <w:rsid w:val="00B43A2C"/>
    <w:rsid w:val="00B44E6D"/>
    <w:rsid w:val="00B47334"/>
    <w:rsid w:val="00B5095A"/>
    <w:rsid w:val="00B5382C"/>
    <w:rsid w:val="00B55A1D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A7EDD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5571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355C1"/>
    <w:rsid w:val="00C41C08"/>
    <w:rsid w:val="00C46464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3C94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45018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92A76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0078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837"/>
    <w:rsid w:val="00E95617"/>
    <w:rsid w:val="00E9615B"/>
    <w:rsid w:val="00EA65C9"/>
    <w:rsid w:val="00EB0909"/>
    <w:rsid w:val="00EB0B3C"/>
    <w:rsid w:val="00EB165C"/>
    <w:rsid w:val="00EB2927"/>
    <w:rsid w:val="00EB2E8D"/>
    <w:rsid w:val="00EB5722"/>
    <w:rsid w:val="00EC2901"/>
    <w:rsid w:val="00EC3989"/>
    <w:rsid w:val="00EC3CF4"/>
    <w:rsid w:val="00EC4BD0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3D6"/>
    <w:rsid w:val="00F026EF"/>
    <w:rsid w:val="00F0368A"/>
    <w:rsid w:val="00F04101"/>
    <w:rsid w:val="00F06902"/>
    <w:rsid w:val="00F0698E"/>
    <w:rsid w:val="00F10360"/>
    <w:rsid w:val="00F13CFE"/>
    <w:rsid w:val="00F14575"/>
    <w:rsid w:val="00F15560"/>
    <w:rsid w:val="00F15723"/>
    <w:rsid w:val="00F169E1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018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4701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20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emy.com/course/deeplearning_x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ursera.org/learn/neural-networks-deep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2214</Words>
  <Characters>16389</Characters>
  <Application>Microsoft Office Word</Application>
  <DocSecurity>0</DocSecurity>
  <Lines>862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Владислав Карюкин</cp:lastModifiedBy>
  <cp:revision>230</cp:revision>
  <cp:lastPrinted>2023-06-26T06:36:00Z</cp:lastPrinted>
  <dcterms:created xsi:type="dcterms:W3CDTF">2023-06-23T02:50:00Z</dcterms:created>
  <dcterms:modified xsi:type="dcterms:W3CDTF">2025-09-28T09:06:00Z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a2212c85-7495-4df2-802b-b20d0dbbceb0</vt:lpwstr>
  </property>
</Properties>
</file>